
<file path=[Content_Types].xml><?xml version="1.0" encoding="utf-8"?>
<Types xmlns="http://schemas.openxmlformats.org/package/2006/content-types">
  <Default Extension="xml" ContentType="application/xml"/>
  <Default Extension="jpeg" ContentType="image/jpeg"/>
  <Default Extension="JPG" ContentType="image/.jpg"/>
  <Default Extension="wdp" ContentType="image/vnd.ms-photo"/>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bookmarkStart w:id="1" w:name="_GoBack"/>
      <w:bookmarkEnd w:id="1"/>
      <w:r>
        <w:rPr>
          <w:rFonts w:hint="eastAsia" w:ascii="方正小标宋简体" w:hAnsi="方正小标宋简体" w:eastAsia="方正小标宋简体" w:cs="方正小标宋简体"/>
          <w:sz w:val="44"/>
          <w:szCs w:val="44"/>
        </w:rPr>
        <w:t>关于培育山东理工大学202</w:t>
      </w:r>
      <w:r>
        <w:rPr>
          <w:rFonts w:hint="eastAsia" w:ascii="方正小标宋简体" w:hAnsi="方正小标宋简体" w:eastAsia="方正小标宋简体" w:cs="方正小标宋简体"/>
          <w:sz w:val="44"/>
          <w:szCs w:val="44"/>
          <w:lang w:val="en-US" w:eastAsia="zh-CN"/>
        </w:rPr>
        <w:t>2</w:t>
      </w:r>
      <w:r>
        <w:rPr>
          <w:rFonts w:hint="eastAsia" w:ascii="方正小标宋简体" w:hAnsi="方正小标宋简体" w:eastAsia="方正小标宋简体" w:cs="方正小标宋简体"/>
          <w:sz w:val="44"/>
          <w:szCs w:val="44"/>
        </w:rPr>
        <w:t>年</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优秀志愿服务项目的通知</w:t>
      </w:r>
    </w:p>
    <w:p>
      <w:pPr>
        <w:jc w:val="center"/>
        <w:rPr>
          <w:rFonts w:ascii="方正小标宋简体" w:hAnsi="方正小标宋简体" w:eastAsia="方正小标宋简体" w:cs="方正小标宋简体"/>
          <w:sz w:val="44"/>
          <w:szCs w:val="44"/>
        </w:rPr>
      </w:pPr>
    </w:p>
    <w:p>
      <w:pPr>
        <w:jc w:val="center"/>
        <w:rPr>
          <w:rFonts w:hint="eastAsia" w:ascii="方正小标宋简体" w:hAnsi="方正小标宋简体" w:eastAsia="方正小标宋简体" w:cs="方正小标宋简体"/>
          <w:sz w:val="44"/>
          <w:szCs w:val="44"/>
        </w:rPr>
      </w:pPr>
      <w:r>
        <w:rPr>
          <w:rFonts w:hint="eastAsia" w:ascii="仿宋" w:hAnsi="仿宋" w:eastAsia="仿宋"/>
          <w:sz w:val="30"/>
        </w:rPr>
        <w:drawing>
          <wp:inline distT="0" distB="0" distL="0" distR="0">
            <wp:extent cx="5615940" cy="4275455"/>
            <wp:effectExtent l="0" t="0" r="10160" b="44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cstate="print">
                      <a:extLst>
                        <a:ext uri="{BEBA8EAE-BF5A-486C-A8C5-ECC9F3942E4B}">
                          <a14:imgProps xmlns:a14="http://schemas.microsoft.com/office/drawing/2010/main">
                            <a14:imgLayer r:embed="rId7">
                              <a14:imgEffect>
                                <a14:saturation sat="83000"/>
                              </a14:imgEffect>
                            </a14:imgLayer>
                          </a14:imgProps>
                        </a:ext>
                        <a:ext uri="{28A0092B-C50C-407E-A947-70E740481C1C}">
                          <a14:useLocalDpi xmlns:a14="http://schemas.microsoft.com/office/drawing/2010/main" val="0"/>
                        </a:ext>
                      </a:extLst>
                    </a:blip>
                    <a:stretch>
                      <a:fillRect/>
                    </a:stretch>
                  </pic:blipFill>
                  <pic:spPr>
                    <a:xfrm>
                      <a:off x="0" y="0"/>
                      <a:ext cx="5615940" cy="4276052"/>
                    </a:xfrm>
                    <a:prstGeom prst="rect">
                      <a:avLst/>
                    </a:prstGeom>
                  </pic:spPr>
                </pic:pic>
              </a:graphicData>
            </a:graphic>
          </wp:inline>
        </w:drawing>
      </w:r>
    </w:p>
    <w:p>
      <w:pPr>
        <w:spacing w:line="576" w:lineRule="exact"/>
        <w:jc w:val="center"/>
        <w:rPr>
          <w:rFonts w:ascii="仿宋GB2312" w:hAnsi="仿宋" w:eastAsia="仿宋GB2312" w:cs="仿宋"/>
          <w:color w:val="000000" w:themeColor="text1"/>
          <w:spacing w:val="5"/>
          <w:sz w:val="32"/>
          <w:szCs w:val="32"/>
          <w14:textFill>
            <w14:solidFill>
              <w14:schemeClr w14:val="tx1"/>
            </w14:solidFill>
          </w14:textFill>
        </w:rPr>
      </w:pPr>
    </w:p>
    <w:p>
      <w:pPr>
        <w:spacing w:line="576" w:lineRule="exact"/>
        <w:jc w:val="center"/>
        <w:rPr>
          <w:rFonts w:ascii="仿宋GB2312" w:hAnsi="仿宋" w:eastAsia="仿宋GB2312" w:cs="仿宋"/>
          <w:color w:val="000000" w:themeColor="text1"/>
          <w:spacing w:val="5"/>
          <w:sz w:val="32"/>
          <w:szCs w:val="32"/>
          <w14:textFill>
            <w14:solidFill>
              <w14:schemeClr w14:val="tx1"/>
            </w14:solidFill>
          </w14:textFill>
        </w:rPr>
      </w:pPr>
      <w:r>
        <w:rPr>
          <w:rFonts w:hint="eastAsia" w:ascii="仿宋GB2312" w:hAnsi="仿宋" w:eastAsia="仿宋GB2312" w:cs="仿宋"/>
          <w:color w:val="000000" w:themeColor="text1"/>
          <w:spacing w:val="5"/>
          <w:sz w:val="32"/>
          <w:szCs w:val="32"/>
          <w14:textFill>
            <w14:solidFill>
              <w14:schemeClr w14:val="tx1"/>
            </w14:solidFill>
          </w14:textFill>
        </w:rPr>
        <w:t>山东理工大学青年志愿者协会</w:t>
      </w:r>
    </w:p>
    <w:p>
      <w:pPr>
        <w:spacing w:line="576" w:lineRule="exact"/>
        <w:rPr>
          <w:rFonts w:ascii="仿宋_GB2312" w:hAnsi="仿宋_GB2312" w:eastAsia="仿宋_GB2312" w:cs="仿宋_GB2312"/>
          <w:kern w:val="0"/>
          <w:sz w:val="32"/>
          <w:szCs w:val="22"/>
          <w:lang w:bidi="zh-CN"/>
        </w:rPr>
        <w:sectPr>
          <w:pgSz w:w="11906" w:h="16838"/>
          <w:pgMar w:top="1531" w:right="1474" w:bottom="1984" w:left="1587" w:header="851" w:footer="992" w:gutter="0"/>
          <w:cols w:space="425" w:num="1"/>
          <w:docGrid w:type="lines" w:linePitch="312" w:charSpace="0"/>
        </w:sect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为深入学习贯彻习近平总书记关于志愿服务工作系列重要指示精神，贯彻落实党中央对志愿服务工作重要部署，围绕立足新发展阶段、贯彻新发展理念、构建新发展格局，引导广大青年志愿者增强“四个意识”，坚定“四个自信”，做到“两个维护”，共青团中央、中央文明办、民政部、水利部、文化和旅游部、国家卫生健康委员会、中国残疾人联合会决定联合中共山东省委、山东省人民政府共同举办第六届中国青年志愿服务项目大赛暨志愿服务交流会（以下简称“赛会”），进一步打造集项目展示、组织交流、文化引领和资源对接于一体的全国志愿服务综合平台，动员引导广大青年和社会公众为实现中华民族伟大复兴的中国梦而努力奋斗。现将</w:t>
      </w:r>
      <w:r>
        <w:rPr>
          <w:rFonts w:hint="eastAsia" w:ascii="仿宋" w:hAnsi="仿宋" w:eastAsia="仿宋" w:cs="仿宋"/>
          <w:kern w:val="0"/>
          <w:sz w:val="32"/>
          <w:szCs w:val="32"/>
          <w:lang w:val="en-US" w:eastAsia="zh-CN" w:bidi="ar"/>
        </w:rPr>
        <w:fldChar w:fldCharType="begin"/>
      </w:r>
      <w:r>
        <w:rPr>
          <w:rFonts w:hint="eastAsia" w:ascii="仿宋" w:hAnsi="仿宋" w:eastAsia="仿宋" w:cs="仿宋"/>
          <w:kern w:val="0"/>
          <w:sz w:val="32"/>
          <w:szCs w:val="32"/>
          <w:lang w:val="en-US" w:eastAsia="zh-CN" w:bidi="ar"/>
        </w:rPr>
        <w:instrText xml:space="preserve"> HYPERLINK "https://mp.weixin.qq.com/javascript:void(0);" </w:instrText>
      </w:r>
      <w:r>
        <w:rPr>
          <w:rFonts w:hint="eastAsia" w:ascii="仿宋" w:hAnsi="仿宋" w:eastAsia="仿宋" w:cs="仿宋"/>
          <w:kern w:val="0"/>
          <w:sz w:val="32"/>
          <w:szCs w:val="32"/>
          <w:lang w:val="en-US" w:eastAsia="zh-CN" w:bidi="ar"/>
        </w:rPr>
        <w:fldChar w:fldCharType="separate"/>
      </w:r>
      <w:r>
        <w:rPr>
          <w:rFonts w:hint="eastAsia" w:ascii="仿宋" w:hAnsi="仿宋" w:eastAsia="仿宋" w:cs="仿宋"/>
          <w:kern w:val="0"/>
          <w:sz w:val="32"/>
          <w:szCs w:val="32"/>
          <w:lang w:val="en-US" w:eastAsia="zh-CN" w:bidi="ar"/>
        </w:rPr>
        <w:t>中国青年志愿者</w:t>
      </w:r>
      <w:r>
        <w:rPr>
          <w:rFonts w:hint="eastAsia" w:ascii="仿宋" w:hAnsi="仿宋" w:eastAsia="仿宋" w:cs="仿宋"/>
          <w:kern w:val="0"/>
          <w:sz w:val="32"/>
          <w:szCs w:val="32"/>
          <w:lang w:val="en-US" w:eastAsia="zh-CN" w:bidi="ar"/>
        </w:rPr>
        <w:fldChar w:fldCharType="end"/>
      </w:r>
      <w:r>
        <w:rPr>
          <w:rFonts w:hint="eastAsia" w:ascii="仿宋" w:hAnsi="仿宋" w:eastAsia="仿宋" w:cs="仿宋"/>
          <w:kern w:val="0"/>
          <w:sz w:val="32"/>
          <w:szCs w:val="32"/>
          <w:lang w:val="en-US" w:eastAsia="zh-CN" w:bidi="ar"/>
        </w:rPr>
        <w:t>《第六届中国青年志愿服务项目大赛评审方法》相关事宜转发。具体通知如下：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申报范围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0" w:lineRule="exact"/>
        <w:ind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社会各领域实施的各类志愿服务项目。项目申报当年正在实施，连续实施时间不少于 2 年。往届中国青年志愿服务项目大赛金奖项目不再申报。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申报主体</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0" w:lineRule="exact"/>
        <w:ind w:leftChars="0"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各学院团委，各等级志愿服务团队均可申报，包括但不限于各级青年志愿者协会或志愿服务联合会、学校志愿服务团体。</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申报方式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0" w:lineRule="exact"/>
        <w:ind w:leftChars="0" w:firstLine="640" w:firstLineChars="20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项目大赛申报方式为各学院团委或各等级志愿服务团队选择</w:t>
      </w:r>
      <w:r>
        <w:rPr>
          <w:rFonts w:hint="eastAsia" w:ascii="仿宋" w:hAnsi="仿宋" w:eastAsia="仿宋" w:cs="仿宋"/>
          <w:color w:val="auto"/>
          <w:kern w:val="0"/>
          <w:sz w:val="32"/>
          <w:szCs w:val="32"/>
          <w:lang w:val="en-US" w:eastAsia="zh-CN" w:bidi="ar"/>
        </w:rPr>
        <w:t>示范类或创意类</w:t>
      </w:r>
      <w:r>
        <w:rPr>
          <w:rFonts w:hint="eastAsia" w:ascii="仿宋" w:hAnsi="仿宋" w:eastAsia="仿宋" w:cs="仿宋"/>
          <w:kern w:val="0"/>
          <w:sz w:val="32"/>
          <w:szCs w:val="32"/>
          <w:lang w:val="en-US" w:eastAsia="zh-CN" w:bidi="ar"/>
        </w:rPr>
        <w:t>其中一种方式参赛，提交对应申报表及申报书到指定地点，根据志愿服务大赛校赛评审方法，经过</w:t>
      </w:r>
      <w:r>
        <w:rPr>
          <w:rFonts w:hint="eastAsia" w:ascii="仿宋" w:hAnsi="仿宋" w:eastAsia="仿宋" w:cs="仿宋"/>
          <w:kern w:val="0"/>
          <w:sz w:val="32"/>
          <w:szCs w:val="32"/>
          <w:lang w:bidi="ar"/>
        </w:rPr>
        <w:t>阅评打分</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bidi="ar"/>
        </w:rPr>
        <w:t>项目终评</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bidi="ar"/>
        </w:rPr>
        <w:t>成绩核算</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择优推报至</w:t>
      </w:r>
      <w:r>
        <w:rPr>
          <w:rFonts w:hint="eastAsia" w:ascii="仿宋" w:hAnsi="仿宋" w:eastAsia="仿宋" w:cs="仿宋"/>
          <w:color w:val="auto"/>
          <w:kern w:val="0"/>
          <w:sz w:val="32"/>
          <w:szCs w:val="32"/>
          <w:lang w:val="en-US" w:eastAsia="zh-CN" w:bidi="ar"/>
        </w:rPr>
        <w:t>省级（上级）</w:t>
      </w:r>
      <w:r>
        <w:rPr>
          <w:rFonts w:hint="eastAsia" w:ascii="仿宋" w:hAnsi="仿宋" w:eastAsia="仿宋" w:cs="仿宋"/>
          <w:kern w:val="0"/>
          <w:sz w:val="32"/>
          <w:szCs w:val="32"/>
          <w:lang w:val="en-US" w:eastAsia="zh-CN" w:bidi="ar"/>
        </w:rPr>
        <w:t>赛会。各项目只能选择其中一种方式参赛，如发现重复申报，归为前申报主体推报，后申报主体由此产生的空额，不得补报。</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570" w:lineRule="exact"/>
        <w:jc w:val="left"/>
        <w:textAlignment w:val="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申报材料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70" w:lineRule="exact"/>
        <w:ind w:leftChars="0"/>
        <w:jc w:val="lef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xml:space="preserve">　　各参赛队伍将电子版项目材料（附件一附件二或附件三附件四）于2022年3月25日 前发送至社会实践部邮箱（jtxysjb2015@163.com），纸质版材料于2022年3月25日晚19:00--21:00送至12教201，进行评比推送。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jc w:val="left"/>
        <w:textAlignment w:val="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五、评审级别</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eastAsia" w:ascii="仿宋" w:hAnsi="仿宋" w:eastAsia="仿宋" w:cs="仿宋"/>
          <w:kern w:val="0"/>
          <w:sz w:val="32"/>
          <w:szCs w:val="32"/>
          <w:lang w:val="en-US" w:eastAsia="zh-CN" w:bidi="zh-CN"/>
        </w:rPr>
      </w:pPr>
      <w:r>
        <w:rPr>
          <w:rFonts w:hint="eastAsia" w:ascii="仿宋" w:hAnsi="仿宋" w:eastAsia="仿宋" w:cs="仿宋"/>
          <w:kern w:val="0"/>
          <w:sz w:val="32"/>
          <w:szCs w:val="32"/>
          <w:lang w:val="en-US" w:eastAsia="zh-CN" w:bidi="ar"/>
        </w:rPr>
        <w:t>校赛评审分为材料初审、一轮答辩和二轮综合评审。</w:t>
      </w:r>
    </w:p>
    <w:p>
      <w:pPr>
        <w:spacing w:line="360" w:lineRule="auto"/>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六、校赛评审</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（一）评审方式</w:t>
      </w:r>
    </w:p>
    <w:p>
      <w:pPr>
        <w:pStyle w:val="5"/>
        <w:widowControl/>
        <w:shd w:val="clear" w:color="auto" w:fill="FFFFFF"/>
        <w:spacing w:beforeAutospacing="0" w:afterAutospacing="0" w:line="360" w:lineRule="auto"/>
        <w:ind w:firstLine="640" w:firstLineChars="200"/>
        <w:rPr>
          <w:rFonts w:hint="eastAsia" w:ascii="仿宋" w:hAnsi="仿宋" w:eastAsia="仿宋" w:cs="仿宋"/>
          <w:color w:val="FF0000"/>
          <w:sz w:val="32"/>
          <w:szCs w:val="32"/>
          <w:lang w:eastAsia="zh-CN" w:bidi="ar"/>
        </w:rPr>
      </w:pPr>
      <w:r>
        <w:rPr>
          <w:rFonts w:hint="eastAsia" w:ascii="仿宋" w:hAnsi="仿宋" w:eastAsia="仿宋" w:cs="仿宋"/>
          <w:sz w:val="32"/>
          <w:szCs w:val="32"/>
          <w:lang w:bidi="ar"/>
        </w:rPr>
        <w:t>主要通过材料阅评、集中评审等方式进行。由志愿服务相关领域专家学者、主办单位工作人员组成评审团队，对参赛项目申报资料进行初评、</w:t>
      </w:r>
      <w:r>
        <w:rPr>
          <w:rFonts w:hint="eastAsia" w:ascii="仿宋" w:hAnsi="仿宋" w:eastAsia="仿宋" w:cs="仿宋"/>
          <w:sz w:val="32"/>
          <w:szCs w:val="32"/>
          <w:lang w:val="en-US" w:eastAsia="zh-CN" w:bidi="ar"/>
        </w:rPr>
        <w:t>终审</w:t>
      </w:r>
      <w:r>
        <w:rPr>
          <w:rFonts w:hint="eastAsia" w:ascii="仿宋" w:hAnsi="仿宋" w:eastAsia="仿宋" w:cs="仿宋"/>
          <w:sz w:val="32"/>
          <w:szCs w:val="32"/>
          <w:lang w:bidi="ar"/>
        </w:rPr>
        <w:t>，审定项目参赛资格，根据各项目的优势、特点等，</w:t>
      </w:r>
      <w:r>
        <w:rPr>
          <w:rFonts w:hint="eastAsia" w:ascii="仿宋" w:hAnsi="仿宋" w:eastAsia="仿宋" w:cs="仿宋"/>
          <w:sz w:val="32"/>
          <w:szCs w:val="32"/>
          <w:lang w:val="en-US" w:eastAsia="zh-CN" w:bidi="ar"/>
        </w:rPr>
        <w:t>结合答辩综合表现，</w:t>
      </w:r>
      <w:r>
        <w:rPr>
          <w:rFonts w:hint="eastAsia" w:ascii="仿宋" w:hAnsi="仿宋" w:eastAsia="仿宋" w:cs="仿宋"/>
          <w:sz w:val="32"/>
          <w:szCs w:val="32"/>
          <w:lang w:bidi="ar"/>
        </w:rPr>
        <w:t>阅评打分</w:t>
      </w:r>
      <w:r>
        <w:rPr>
          <w:rFonts w:hint="eastAsia" w:ascii="仿宋" w:hAnsi="仿宋" w:eastAsia="仿宋" w:cs="仿宋"/>
          <w:sz w:val="32"/>
          <w:szCs w:val="32"/>
          <w:lang w:eastAsia="zh-CN" w:bidi="ar"/>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firstLine="640" w:firstLineChars="200"/>
        <w:jc w:val="both"/>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（二）评审流程</w:t>
      </w:r>
    </w:p>
    <w:p>
      <w:pPr>
        <w:pStyle w:val="5"/>
        <w:widowControl/>
        <w:shd w:val="clear" w:color="auto" w:fill="FFFFFF"/>
        <w:spacing w:beforeAutospacing="0" w:afterAutospacing="0" w:line="360" w:lineRule="auto"/>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1.材料初审。工作人员首先要将申报项目按照申报类别分类，对报名材料进行初步的审核。初审将确定</w:t>
      </w:r>
      <w:r>
        <w:rPr>
          <w:rFonts w:hint="eastAsia" w:ascii="仿宋" w:hAnsi="仿宋" w:eastAsia="仿宋" w:cs="仿宋"/>
          <w:sz w:val="32"/>
          <w:szCs w:val="32"/>
          <w:lang w:val="en-US" w:eastAsia="zh-CN" w:bidi="ar"/>
        </w:rPr>
        <w:t>符合条件、材料完善、具有良好意义的</w:t>
      </w:r>
      <w:r>
        <w:rPr>
          <w:rFonts w:hint="eastAsia" w:ascii="仿宋" w:hAnsi="仿宋" w:eastAsia="仿宋" w:cs="仿宋"/>
          <w:sz w:val="32"/>
          <w:szCs w:val="32"/>
          <w:lang w:bidi="ar"/>
        </w:rPr>
        <w:t>项目入围决赛答辩。</w:t>
      </w:r>
    </w:p>
    <w:p>
      <w:pPr>
        <w:pStyle w:val="5"/>
        <w:widowControl/>
        <w:shd w:val="clear" w:color="auto" w:fill="FFFFFF"/>
        <w:spacing w:beforeAutospacing="0" w:afterAutospacing="0" w:line="360" w:lineRule="auto"/>
        <w:ind w:firstLine="640"/>
        <w:rPr>
          <w:rFonts w:hint="eastAsia" w:ascii="仿宋" w:hAnsi="仿宋" w:eastAsia="仿宋" w:cs="仿宋"/>
          <w:sz w:val="32"/>
          <w:szCs w:val="32"/>
          <w:lang w:bidi="ar"/>
        </w:rPr>
      </w:pPr>
      <w:r>
        <w:rPr>
          <w:rFonts w:hint="eastAsia" w:ascii="仿宋" w:hAnsi="仿宋" w:eastAsia="仿宋" w:cs="仿宋"/>
          <w:sz w:val="32"/>
          <w:szCs w:val="32"/>
          <w:lang w:bidi="ar"/>
        </w:rPr>
        <w:t>2.一轮答辩。一轮答辩展示时间为7分钟，评委提问时间为3分钟。首先各参赛队伍可通过PPT演讲、播放视频等方式，将自己团队项目的背景、初衷、亮点展现给评审团的各位评委。在答辩结束后评委老师会从项目的可行性、创新点、调研结果等方面入手进行提问，评审打分。</w:t>
      </w:r>
    </w:p>
    <w:p>
      <w:pPr>
        <w:pStyle w:val="5"/>
        <w:widowControl/>
        <w:shd w:val="clear" w:color="auto" w:fill="FFFFFF"/>
        <w:spacing w:beforeAutospacing="0" w:afterAutospacing="0" w:line="360" w:lineRule="auto"/>
        <w:ind w:firstLine="640"/>
        <w:rPr>
          <w:rFonts w:hint="eastAsia" w:ascii="仿宋" w:hAnsi="仿宋" w:eastAsia="仿宋" w:cs="仿宋"/>
          <w:sz w:val="32"/>
          <w:szCs w:val="32"/>
          <w:lang w:bidi="ar"/>
        </w:rPr>
      </w:pPr>
      <w:r>
        <w:rPr>
          <w:rFonts w:hint="eastAsia" w:ascii="仿宋" w:hAnsi="仿宋" w:eastAsia="仿宋" w:cs="仿宋"/>
          <w:sz w:val="32"/>
          <w:szCs w:val="32"/>
          <w:lang w:bidi="ar"/>
        </w:rPr>
        <w:t>3.二轮综合评审。评委根据参赛队伍</w:t>
      </w:r>
      <w:r>
        <w:rPr>
          <w:rFonts w:hint="eastAsia" w:ascii="仿宋" w:hAnsi="仿宋" w:eastAsia="仿宋" w:cs="仿宋"/>
          <w:sz w:val="32"/>
          <w:szCs w:val="32"/>
          <w:lang w:val="en-US" w:eastAsia="zh-CN" w:bidi="ar"/>
        </w:rPr>
        <w:t>材料初审以及</w:t>
      </w:r>
      <w:r>
        <w:rPr>
          <w:rFonts w:hint="eastAsia" w:ascii="仿宋" w:hAnsi="仿宋" w:eastAsia="仿宋" w:cs="仿宋"/>
          <w:sz w:val="32"/>
          <w:szCs w:val="32"/>
          <w:lang w:bidi="ar"/>
        </w:rPr>
        <w:t>答辩时的综合表现进行打分，评审组按照百分制打分，每个项目取多名评委打分的平均分作为总成绩。</w:t>
      </w:r>
    </w:p>
    <w:p>
      <w:pPr>
        <w:pStyle w:val="5"/>
        <w:widowControl/>
        <w:shd w:val="clear" w:color="auto" w:fill="FFFFFF"/>
        <w:spacing w:beforeAutospacing="0" w:afterAutospacing="0" w:line="360" w:lineRule="auto"/>
        <w:ind w:firstLine="640" w:firstLineChars="200"/>
        <w:rPr>
          <w:rFonts w:hint="eastAsia" w:ascii="仿宋" w:hAnsi="仿宋" w:eastAsia="仿宋" w:cs="仿宋"/>
          <w:sz w:val="32"/>
          <w:szCs w:val="32"/>
          <w:lang w:bidi="ar"/>
        </w:rPr>
      </w:pPr>
      <w:r>
        <w:rPr>
          <w:rFonts w:hint="eastAsia" w:ascii="仿宋" w:hAnsi="仿宋" w:eastAsia="仿宋" w:cs="仿宋"/>
          <w:sz w:val="32"/>
          <w:szCs w:val="32"/>
          <w:lang w:bidi="ar"/>
        </w:rPr>
        <w:t>4.结果公示。初评结果面向全校公示，通过山东理工大学青年志愿者协会微信公众号——志愿山理工发布，请大家多多关注。</w:t>
      </w:r>
    </w:p>
    <w:p>
      <w:pPr>
        <w:pStyle w:val="5"/>
        <w:widowControl/>
        <w:shd w:val="clear" w:color="auto" w:fill="FFFFFF"/>
        <w:spacing w:beforeAutospacing="0" w:afterAutospacing="0" w:line="360" w:lineRule="auto"/>
        <w:rPr>
          <w:rFonts w:hint="eastAsia" w:ascii="仿宋" w:hAnsi="仿宋" w:eastAsia="仿宋" w:cs="仿宋"/>
          <w:b/>
          <w:bCs/>
          <w:color w:val="000000"/>
          <w:kern w:val="0"/>
          <w:sz w:val="32"/>
          <w:szCs w:val="32"/>
          <w:lang w:val="en-US" w:eastAsia="zh-CN" w:bidi="ar"/>
        </w:rPr>
      </w:pPr>
      <w:r>
        <w:rPr>
          <w:rFonts w:hint="eastAsia" w:ascii="仿宋" w:hAnsi="仿宋" w:eastAsia="仿宋" w:cs="仿宋"/>
          <w:b/>
          <w:bCs/>
          <w:color w:val="000000"/>
          <w:kern w:val="0"/>
          <w:sz w:val="32"/>
          <w:szCs w:val="32"/>
          <w:lang w:val="en-US" w:eastAsia="zh-CN" w:bidi="ar"/>
        </w:rPr>
        <w:t>七、奖项设置</w:t>
      </w:r>
    </w:p>
    <w:p>
      <w:pPr>
        <w:pStyle w:val="5"/>
        <w:widowControl/>
        <w:shd w:val="clear" w:color="auto" w:fill="FFFFFF"/>
        <w:spacing w:beforeAutospacing="0" w:afterAutospacing="0" w:line="360" w:lineRule="auto"/>
        <w:ind w:firstLine="640" w:firstLineChars="200"/>
        <w:rPr>
          <w:rFonts w:hint="eastAsia" w:ascii="仿宋" w:hAnsi="仿宋" w:eastAsia="仿宋" w:cs="仿宋"/>
          <w:kern w:val="0"/>
          <w:sz w:val="32"/>
          <w:szCs w:val="32"/>
          <w:lang w:val="en-US" w:eastAsia="zh-CN" w:bidi="ar"/>
        </w:rPr>
      </w:pPr>
      <w:r>
        <w:rPr>
          <w:rFonts w:hint="eastAsia" w:ascii="仿宋" w:hAnsi="仿宋" w:eastAsia="仿宋" w:cs="仿宋"/>
          <w:sz w:val="32"/>
          <w:szCs w:val="32"/>
          <w:lang w:bidi="ar"/>
        </w:rPr>
        <w:t>决赛将设一等奖2个、二等奖3个、三等奖5个、优秀奖</w:t>
      </w:r>
      <w:r>
        <w:rPr>
          <w:rFonts w:hint="eastAsia" w:ascii="仿宋" w:hAnsi="仿宋" w:eastAsia="仿宋" w:cs="仿宋"/>
          <w:sz w:val="32"/>
          <w:szCs w:val="32"/>
          <w:lang w:val="en-US" w:eastAsia="zh-CN" w:bidi="ar"/>
        </w:rPr>
        <w:t>若干</w:t>
      </w:r>
      <w:r>
        <w:rPr>
          <w:rFonts w:hint="eastAsia" w:ascii="仿宋" w:hAnsi="仿宋" w:eastAsia="仿宋" w:cs="仿宋"/>
          <w:sz w:val="32"/>
          <w:szCs w:val="32"/>
          <w:lang w:bidi="ar"/>
        </w:rPr>
        <w:t>个。</w:t>
      </w:r>
    </w:p>
    <w:p>
      <w:pPr>
        <w:spacing w:line="520" w:lineRule="exact"/>
        <w:jc w:val="left"/>
        <w:rPr>
          <w:rFonts w:hint="eastAsia" w:ascii="仿宋" w:hAnsi="仿宋" w:eastAsia="仿宋" w:cs="仿宋"/>
          <w:b/>
          <w:bCs/>
          <w:kern w:val="0"/>
          <w:sz w:val="32"/>
          <w:szCs w:val="32"/>
          <w:lang w:val="en-US" w:eastAsia="zh-CN" w:bidi="zh-CN"/>
        </w:rPr>
      </w:pPr>
      <w:r>
        <w:rPr>
          <w:rFonts w:hint="eastAsia" w:ascii="仿宋" w:hAnsi="仿宋" w:eastAsia="仿宋" w:cs="仿宋"/>
          <w:b/>
          <w:bCs/>
          <w:kern w:val="0"/>
          <w:sz w:val="32"/>
          <w:szCs w:val="32"/>
          <w:lang w:val="en-US" w:eastAsia="zh-CN" w:bidi="zh-CN"/>
        </w:rPr>
        <w:t>八、附件</w:t>
      </w:r>
    </w:p>
    <w:p>
      <w:pPr>
        <w:jc w:val="left"/>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附件一：《山东理工大学2022年度青年志愿服务项目培育计划（示范类）申报表》</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附件二：《山东理工大学2022年度青年志愿服务项目培育计划（创意类）申报表》</w:t>
      </w:r>
      <w:r>
        <w:rPr>
          <w:rFonts w:hint="eastAsia" w:ascii="仿宋" w:hAnsi="仿宋" w:eastAsia="仿宋" w:cs="仿宋"/>
          <w:kern w:val="0"/>
          <w:sz w:val="32"/>
          <w:szCs w:val="32"/>
          <w:lang w:val="en-US" w:eastAsia="zh-CN" w:bidi="ar"/>
        </w:rPr>
        <w:br w:type="textWrapping"/>
      </w:r>
      <w:r>
        <w:rPr>
          <w:rFonts w:hint="eastAsia" w:ascii="仿宋" w:hAnsi="仿宋" w:eastAsia="仿宋" w:cs="仿宋"/>
          <w:kern w:val="0"/>
          <w:sz w:val="32"/>
          <w:szCs w:val="32"/>
          <w:lang w:val="en-US" w:eastAsia="zh-CN" w:bidi="ar"/>
        </w:rPr>
        <w:t> 附件三：《山东理工大学2022年度青年志愿服务项目培育计划（示范类）申报书》</w:t>
      </w:r>
      <w:r>
        <w:rPr>
          <w:rFonts w:hint="eastAsia" w:ascii="仿宋" w:hAnsi="仿宋" w:eastAsia="仿宋" w:cs="仿宋"/>
          <w:kern w:val="0"/>
          <w:sz w:val="32"/>
          <w:szCs w:val="32"/>
          <w:lang w:val="en-US" w:eastAsia="zh-CN" w:bidi="ar"/>
        </w:rPr>
        <w:br w:type="textWrapping"/>
      </w:r>
      <w:bookmarkStart w:id="0" w:name="OLE_LINK1"/>
      <w:r>
        <w:rPr>
          <w:rFonts w:hint="eastAsia" w:ascii="仿宋" w:hAnsi="仿宋" w:eastAsia="仿宋" w:cs="仿宋"/>
          <w:kern w:val="0"/>
          <w:sz w:val="32"/>
          <w:szCs w:val="32"/>
          <w:lang w:val="en-US" w:eastAsia="zh-CN" w:bidi="ar"/>
        </w:rPr>
        <w:t>附件四：</w:t>
      </w:r>
      <w:bookmarkEnd w:id="0"/>
      <w:r>
        <w:rPr>
          <w:rFonts w:hint="eastAsia" w:ascii="仿宋" w:hAnsi="仿宋" w:eastAsia="仿宋" w:cs="仿宋"/>
          <w:kern w:val="0"/>
          <w:sz w:val="32"/>
          <w:szCs w:val="32"/>
          <w:lang w:val="en-US" w:eastAsia="zh-CN" w:bidi="ar"/>
        </w:rPr>
        <w:t>《山东理工大学2021年度青年志愿服务项目培育计划（创意类）申报书》</w:t>
      </w:r>
    </w:p>
    <w:p>
      <w:pPr>
        <w:jc w:val="left"/>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附件五：志愿服务项目大赛学院参赛汇总表</w:t>
      </w:r>
    </w:p>
    <w:p>
      <w:pPr>
        <w:jc w:val="left"/>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附件六：志愿服务项目大赛决赛评审标准</w:t>
      </w:r>
    </w:p>
    <w:p>
      <w:pPr>
        <w:jc w:val="left"/>
        <w:rPr>
          <w:rFonts w:hint="eastAsia" w:ascii="仿宋" w:hAnsi="仿宋" w:eastAsia="仿宋" w:cs="仿宋"/>
          <w:kern w:val="0"/>
          <w:sz w:val="32"/>
          <w:szCs w:val="32"/>
          <w:lang w:val="en-US" w:eastAsia="zh-CN" w:bidi="ar"/>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firstLine="960" w:firstLineChars="300"/>
        <w:jc w:val="right"/>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山东理工大学青年志愿者协会</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firstLine="960" w:firstLineChars="300"/>
        <w:jc w:val="right"/>
        <w:textAlignment w:val="auto"/>
        <w:rPr>
          <w:rFonts w:hint="eastAsia" w:ascii="仿宋" w:hAnsi="仿宋" w:eastAsia="仿宋" w:cs="仿宋"/>
          <w:color w:val="auto"/>
          <w:kern w:val="0"/>
          <w:sz w:val="32"/>
          <w:szCs w:val="32"/>
          <w:lang w:val="en-US" w:eastAsia="zh-CN" w:bidi="ar"/>
        </w:rPr>
      </w:pPr>
      <w:r>
        <w:rPr>
          <w:rFonts w:hint="eastAsia" w:ascii="仿宋" w:hAnsi="仿宋" w:eastAsia="仿宋" w:cs="仿宋"/>
          <w:kern w:val="0"/>
          <w:sz w:val="32"/>
          <w:szCs w:val="32"/>
          <w:lang w:val="en-US" w:eastAsia="zh-CN" w:bidi="ar"/>
        </w:rPr>
        <w:t xml:space="preserve">                              </w:t>
      </w:r>
      <w:r>
        <w:rPr>
          <w:rFonts w:hint="eastAsia" w:ascii="仿宋" w:hAnsi="仿宋" w:eastAsia="仿宋" w:cs="仿宋"/>
          <w:color w:val="auto"/>
          <w:kern w:val="0"/>
          <w:sz w:val="32"/>
          <w:szCs w:val="32"/>
          <w:lang w:val="en-US" w:eastAsia="zh-CN" w:bidi="ar"/>
        </w:rPr>
        <w:t xml:space="preserve">  2022年3月1日</w:t>
      </w:r>
    </w:p>
    <w:p>
      <w:pPr>
        <w:pStyle w:val="2"/>
        <w:keepNext w:val="0"/>
        <w:keepLines w:val="0"/>
        <w:pageBreakBefore w:val="0"/>
        <w:kinsoku/>
        <w:wordWrap/>
        <w:overflowPunct/>
        <w:topLinePunct w:val="0"/>
        <w:autoSpaceDE/>
        <w:autoSpaceDN/>
        <w:bidi w:val="0"/>
        <w:adjustRightInd/>
        <w:snapToGrid/>
        <w:spacing w:before="4" w:line="570" w:lineRule="exact"/>
        <w:ind w:right="536"/>
        <w:jc w:val="both"/>
        <w:textAlignment w:val="auto"/>
        <w:rPr>
          <w:rFonts w:hint="eastAsia" w:ascii="仿宋" w:hAnsi="仿宋" w:eastAsia="仿宋" w:cs="仿宋"/>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jc w:val="left"/>
        <w:textAlignment w:val="auto"/>
        <w:rPr>
          <w:rFonts w:hint="eastAsia" w:ascii="仿宋" w:hAnsi="仿宋" w:eastAsia="仿宋" w:cs="仿宋"/>
          <w:lang w:val="en-US" w:eastAsia="zh-CN"/>
        </w:rPr>
      </w:pP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rightChars="0"/>
        <w:jc w:val="both"/>
        <w:textAlignment w:val="auto"/>
        <w:rPr>
          <w:rFonts w:hint="eastAsia" w:ascii="仿宋" w:hAnsi="仿宋" w:eastAsia="仿宋" w:cs="仿宋"/>
          <w:kern w:val="0"/>
          <w:sz w:val="32"/>
          <w:szCs w:val="32"/>
          <w:lang w:val="en-US" w:eastAsia="zh-CN" w:bidi="ar"/>
        </w:rPr>
      </w:pPr>
      <w:r>
        <w:rPr>
          <w:rFonts w:hint="eastAsia" w:ascii="仿宋" w:hAnsi="仿宋" w:eastAsia="仿宋" w:cs="仿宋"/>
          <w:kern w:val="0"/>
          <w:sz w:val="32"/>
          <w:szCs w:val="32"/>
          <w:lang w:val="en-US" w:eastAsia="zh-CN" w:bidi="ar"/>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70" w:lineRule="exact"/>
        <w:ind w:right="0" w:firstLine="640" w:firstLineChars="200"/>
        <w:jc w:val="left"/>
        <w:textAlignment w:val="auto"/>
        <w:rPr>
          <w:rFonts w:hint="eastAsia" w:ascii="仿宋" w:hAnsi="仿宋" w:eastAsia="仿宋" w:cs="仿宋"/>
          <w:kern w:val="0"/>
          <w:sz w:val="32"/>
          <w:szCs w:val="32"/>
          <w:lang w:val="en-US" w:eastAsia="zh-CN" w:bidi="ar"/>
        </w:rPr>
      </w:pPr>
    </w:p>
    <w:p>
      <w:pPr>
        <w:keepNext w:val="0"/>
        <w:keepLines w:val="0"/>
        <w:pageBreakBefore w:val="0"/>
        <w:kinsoku/>
        <w:wordWrap/>
        <w:overflowPunct/>
        <w:topLinePunct w:val="0"/>
        <w:autoSpaceDE/>
        <w:autoSpaceDN/>
        <w:bidi w:val="0"/>
        <w:adjustRightInd/>
        <w:snapToGrid/>
        <w:spacing w:line="570" w:lineRule="exact"/>
        <w:jc w:val="both"/>
        <w:textAlignment w:val="auto"/>
        <w:rPr>
          <w:rFonts w:hint="eastAsia" w:ascii="仿宋" w:hAnsi="仿宋" w:eastAsia="仿宋" w:cs="仿宋"/>
          <w:kern w:val="0"/>
          <w:sz w:val="44"/>
          <w:szCs w:val="22"/>
          <w:lang w:val="en-US" w:eastAsia="zh-CN" w:bidi="zh-CN"/>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仿宋" w:hAnsi="仿宋" w:eastAsia="仿宋" w:cs="仿宋"/>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1" w:fontKey="{C84FA9FB-291B-45A0-B938-CB649E3B6368}"/>
  </w:font>
  <w:font w:name="仿宋">
    <w:panose1 w:val="02010609060101010101"/>
    <w:charset w:val="86"/>
    <w:family w:val="modern"/>
    <w:pitch w:val="default"/>
    <w:sig w:usb0="800002BF" w:usb1="38CF7CFA" w:usb2="00000016" w:usb3="00000000" w:csb0="00040001" w:csb1="00000000"/>
    <w:embedRegular r:id="rId2" w:fontKey="{18A93071-96B8-4E23-8D23-31DA437F1A1C}"/>
  </w:font>
  <w:font w:name="仿宋GB2312">
    <w:altName w:val="宋体"/>
    <w:panose1 w:val="00000000000000000000"/>
    <w:charset w:val="86"/>
    <w:family w:val="roman"/>
    <w:pitch w:val="default"/>
    <w:sig w:usb0="00000000" w:usb1="00000000" w:usb2="00000000" w:usb3="00000000" w:csb0="00000000" w:csb1="00000000"/>
    <w:embedRegular r:id="rId3" w:fontKey="{14DD6727-229F-4374-87D1-29183BA820CB}"/>
  </w:font>
  <w:font w:name="仿宋_GB2312">
    <w:panose1 w:val="02010609030101010101"/>
    <w:charset w:val="86"/>
    <w:family w:val="modern"/>
    <w:pitch w:val="default"/>
    <w:sig w:usb0="00000001" w:usb1="080E0000" w:usb2="00000000" w:usb3="00000000" w:csb0="00040000" w:csb1="00000000"/>
    <w:embedRegular r:id="rId4" w:fontKey="{FDB556F3-09EF-49D8-9000-568FC797E3F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C3FE60"/>
    <w:multiLevelType w:val="singleLevel"/>
    <w:tmpl w:val="36C3FE6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861E8"/>
    <w:rsid w:val="0ABF11EA"/>
    <w:rsid w:val="10C466D0"/>
    <w:rsid w:val="12C40C68"/>
    <w:rsid w:val="137722C1"/>
    <w:rsid w:val="17974AB8"/>
    <w:rsid w:val="216A63D5"/>
    <w:rsid w:val="26B66767"/>
    <w:rsid w:val="28745F92"/>
    <w:rsid w:val="3D4D775C"/>
    <w:rsid w:val="40B02CC9"/>
    <w:rsid w:val="42511110"/>
    <w:rsid w:val="4530215E"/>
    <w:rsid w:val="471A0735"/>
    <w:rsid w:val="4F03463C"/>
    <w:rsid w:val="5511346B"/>
    <w:rsid w:val="57620F80"/>
    <w:rsid w:val="5DC122B0"/>
    <w:rsid w:val="5E0B18D1"/>
    <w:rsid w:val="614134F4"/>
    <w:rsid w:val="61A41C04"/>
    <w:rsid w:val="661C3AB8"/>
    <w:rsid w:val="708C4F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0"/>
      <w:szCs w:val="30"/>
      <w:lang w:val="zh-CN" w:eastAsia="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8">
    <w:name w:val="List Paragraph"/>
    <w:basedOn w:val="1"/>
    <w:qFormat/>
    <w:uiPriority w:val="1"/>
    <w:pPr>
      <w:spacing w:before="4"/>
      <w:ind w:left="587" w:right="586" w:firstLine="599"/>
      <w:jc w:val="both"/>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microsoft.com/office/2007/relationships/hdphoto" Target="media/image2.wdp"/><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2021-09-30T09:45:00Z</dcterms:created>
  <dc:creator>dell</dc:creator>
  <cp:lastModifiedBy>所以还是v额巴顿将军</cp:lastModifiedBy>
  <dcterms:modified xsi:type="dcterms:W3CDTF">2022-03-05T11:02:51Z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BAF08973F515486F88A872BE3B3455A2</vt:lpwstr>
  </property>
</Properties>
</file>