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after="0" w:afterAutospacing="0"/>
        <w:jc w:val="center"/>
        <w:rPr>
          <w:rFonts w:hint="default" w:cs="Verdana"/>
          <w:color w:val="000000"/>
          <w:sz w:val="36"/>
          <w:szCs w:val="36"/>
        </w:rPr>
      </w:pPr>
      <w:r>
        <w:rPr>
          <w:rFonts w:cs="Verdana"/>
          <w:color w:val="000000"/>
          <w:sz w:val="36"/>
          <w:szCs w:val="36"/>
        </w:rPr>
        <w:t>交通学院研究生优秀成果量化计算办法（试行）</w:t>
      </w:r>
    </w:p>
    <w:p>
      <w:pPr>
        <w:pStyle w:val="2"/>
        <w:widowControl/>
        <w:spacing w:before="0" w:beforeAutospacing="0"/>
        <w:jc w:val="center"/>
        <w:rPr>
          <w:rFonts w:hint="default" w:ascii="楷体_GB2312" w:eastAsia="楷体_GB2312" w:cs="Verdana"/>
          <w:b w:val="0"/>
          <w:color w:val="000000"/>
          <w:sz w:val="28"/>
          <w:szCs w:val="28"/>
        </w:rPr>
      </w:pPr>
    </w:p>
    <w:p>
      <w:pPr>
        <w:pStyle w:val="7"/>
        <w:widowControl/>
        <w:spacing w:before="0" w:beforeAutospacing="0" w:after="0" w:afterAutospacing="0"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为科学评价研究生科研成果，根据《</w:t>
      </w:r>
      <w:r>
        <w:rPr>
          <w:rFonts w:hint="eastAsia" w:ascii="仿宋" w:hAnsi="仿宋" w:eastAsia="仿宋" w:cs="仿宋"/>
          <w:color w:val="000000"/>
          <w:sz w:val="32"/>
          <w:szCs w:val="32"/>
          <w:lang w:val="en-US" w:eastAsia="zh-CN"/>
        </w:rPr>
        <w:t>关于印发</w:t>
      </w:r>
      <w:r>
        <w:rPr>
          <w:rFonts w:hint="eastAsia" w:ascii="仿宋" w:hAnsi="仿宋" w:eastAsia="仿宋" w:cs="仿宋"/>
          <w:color w:val="000000"/>
          <w:sz w:val="32"/>
          <w:szCs w:val="32"/>
        </w:rPr>
        <w:t>山东理工大学</w:t>
      </w:r>
      <w:r>
        <w:rPr>
          <w:rFonts w:hint="eastAsia" w:ascii="仿宋" w:hAnsi="仿宋" w:eastAsia="仿宋" w:cs="仿宋"/>
          <w:color w:val="000000"/>
          <w:sz w:val="32"/>
          <w:szCs w:val="32"/>
          <w:lang w:eastAsia="zh-CN"/>
        </w:rPr>
        <w:t>自然科学科研成果、项目、奖励等级认定与</w:t>
      </w:r>
      <w:r>
        <w:rPr>
          <w:rFonts w:hint="eastAsia" w:ascii="仿宋" w:hAnsi="仿宋" w:eastAsia="仿宋" w:cs="仿宋"/>
          <w:color w:val="000000"/>
          <w:sz w:val="32"/>
          <w:szCs w:val="32"/>
          <w:lang w:val="en-US" w:eastAsia="zh-CN"/>
        </w:rPr>
        <w:t>评价</w:t>
      </w:r>
      <w:r>
        <w:rPr>
          <w:rFonts w:hint="eastAsia" w:ascii="仿宋" w:hAnsi="仿宋" w:eastAsia="仿宋" w:cs="仿宋"/>
          <w:color w:val="000000"/>
          <w:sz w:val="32"/>
          <w:szCs w:val="32"/>
          <w:lang w:eastAsia="zh-CN"/>
        </w:rPr>
        <w:t>办法</w:t>
      </w:r>
      <w:r>
        <w:rPr>
          <w:rFonts w:hint="eastAsia" w:ascii="仿宋" w:hAnsi="仿宋" w:eastAsia="仿宋" w:cs="仿宋"/>
          <w:color w:val="000000"/>
          <w:sz w:val="32"/>
          <w:szCs w:val="32"/>
        </w:rPr>
        <w:t>（试行）</w:t>
      </w:r>
      <w:r>
        <w:rPr>
          <w:rFonts w:hint="eastAsia" w:ascii="仿宋" w:hAnsi="仿宋" w:eastAsia="仿宋" w:cs="仿宋"/>
          <w:color w:val="000000"/>
          <w:sz w:val="32"/>
          <w:szCs w:val="32"/>
          <w:lang w:val="en-US" w:eastAsia="zh-CN"/>
        </w:rPr>
        <w:t>等规章制度的通知</w:t>
      </w:r>
      <w:r>
        <w:rPr>
          <w:rFonts w:hint="eastAsia" w:ascii="仿宋" w:hAnsi="仿宋" w:eastAsia="仿宋" w:cs="仿宋"/>
          <w:color w:val="000000"/>
          <w:sz w:val="32"/>
          <w:szCs w:val="32"/>
        </w:rPr>
        <w:t>》（鲁理工大政发〔20</w:t>
      </w:r>
      <w:r>
        <w:rPr>
          <w:rFonts w:hint="eastAsia" w:ascii="仿宋" w:hAnsi="仿宋" w:eastAsia="仿宋" w:cs="仿宋"/>
          <w:color w:val="000000"/>
          <w:sz w:val="32"/>
          <w:szCs w:val="32"/>
          <w:lang w:val="en-US" w:eastAsia="zh-CN"/>
        </w:rPr>
        <w:t>22</w:t>
      </w:r>
      <w:r>
        <w:rPr>
          <w:rFonts w:hint="eastAsia" w:ascii="仿宋" w:hAnsi="仿宋" w:eastAsia="仿宋" w:cs="仿宋"/>
          <w:color w:val="000000"/>
          <w:sz w:val="32"/>
          <w:szCs w:val="32"/>
        </w:rPr>
        <w:t>〕</w:t>
      </w:r>
      <w:r>
        <w:rPr>
          <w:rFonts w:hint="eastAsia" w:ascii="仿宋" w:hAnsi="仿宋" w:eastAsia="仿宋" w:cs="仿宋"/>
          <w:color w:val="000000"/>
          <w:sz w:val="32"/>
          <w:szCs w:val="32"/>
          <w:lang w:val="en-US" w:eastAsia="zh-CN"/>
        </w:rPr>
        <w:t>54</w:t>
      </w:r>
      <w:r>
        <w:rPr>
          <w:rFonts w:hint="eastAsia" w:ascii="仿宋" w:hAnsi="仿宋" w:eastAsia="仿宋" w:cs="仿宋"/>
          <w:color w:val="000000"/>
          <w:sz w:val="32"/>
          <w:szCs w:val="32"/>
        </w:rPr>
        <w:t>号）、《</w:t>
      </w:r>
      <w:r>
        <w:rPr>
          <w:rFonts w:hint="eastAsia" w:ascii="仿宋" w:hAnsi="仿宋" w:eastAsia="仿宋" w:cs="仿宋"/>
          <w:color w:val="000000"/>
          <w:sz w:val="32"/>
          <w:szCs w:val="32"/>
          <w:lang w:val="en-US" w:eastAsia="zh-CN"/>
        </w:rPr>
        <w:t>关于印发&lt;</w:t>
      </w:r>
      <w:r>
        <w:rPr>
          <w:rFonts w:hint="eastAsia" w:ascii="仿宋" w:hAnsi="仿宋" w:eastAsia="仿宋" w:cs="仿宋"/>
          <w:color w:val="000000"/>
          <w:sz w:val="32"/>
          <w:szCs w:val="32"/>
        </w:rPr>
        <w:t>山东理工大学岗位聘用与考核实施办法</w:t>
      </w:r>
      <w:r>
        <w:rPr>
          <w:rFonts w:hint="eastAsia" w:ascii="仿宋" w:hAnsi="仿宋" w:eastAsia="仿宋" w:cs="仿宋"/>
          <w:color w:val="000000"/>
          <w:sz w:val="32"/>
          <w:szCs w:val="32"/>
          <w:lang w:val="en-US" w:eastAsia="zh-CN"/>
        </w:rPr>
        <w:t>&gt;的通知</w:t>
      </w:r>
      <w:r>
        <w:rPr>
          <w:rFonts w:hint="eastAsia" w:ascii="仿宋" w:hAnsi="仿宋" w:eastAsia="仿宋" w:cs="仿宋"/>
          <w:color w:val="000000"/>
          <w:sz w:val="32"/>
          <w:szCs w:val="32"/>
        </w:rPr>
        <w:t>》（鲁理工大政发〔2022〕56号）与《山东理工大学研究生高水平学科竞赛优秀成果量化计算办法》（研究生函〔2022〕12号），结合我院实际，特制定本办法。</w:t>
      </w:r>
    </w:p>
    <w:p>
      <w:pPr>
        <w:pStyle w:val="7"/>
        <w:widowControl/>
        <w:spacing w:before="240" w:beforeAutospacing="0" w:after="240" w:afterAutospacing="0" w:line="560" w:lineRule="exact"/>
        <w:ind w:firstLine="640" w:firstLineChars="200"/>
        <w:jc w:val="both"/>
        <w:rPr>
          <w:rFonts w:ascii="黑体" w:hAnsi="黑体" w:eastAsia="黑体"/>
          <w:b/>
          <w:sz w:val="32"/>
          <w:szCs w:val="32"/>
        </w:rPr>
      </w:pPr>
      <w:r>
        <w:rPr>
          <w:rStyle w:val="11"/>
          <w:rFonts w:hint="eastAsia" w:ascii="黑体" w:hAnsi="黑体" w:eastAsia="黑体" w:cs="仿宋"/>
          <w:b w:val="0"/>
          <w:color w:val="000000"/>
          <w:sz w:val="32"/>
          <w:szCs w:val="32"/>
        </w:rPr>
        <w:t>一、面向对象</w:t>
      </w:r>
    </w:p>
    <w:p>
      <w:pPr>
        <w:pStyle w:val="7"/>
        <w:widowControl/>
        <w:spacing w:before="0" w:beforeAutospacing="0" w:after="0" w:afterAutospacing="0"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本办法适用于我院全日制在校研究生以山东理工大学为第一署名单位获得的优秀成果。</w:t>
      </w:r>
    </w:p>
    <w:p>
      <w:pPr>
        <w:pStyle w:val="7"/>
        <w:widowControl/>
        <w:numPr>
          <w:ilvl w:val="0"/>
          <w:numId w:val="1"/>
        </w:numPr>
        <w:spacing w:before="240" w:beforeAutospacing="0" w:after="240" w:afterAutospacing="0" w:line="560" w:lineRule="exact"/>
        <w:ind w:firstLine="640" w:firstLineChars="200"/>
        <w:jc w:val="both"/>
        <w:rPr>
          <w:rStyle w:val="11"/>
          <w:rFonts w:hint="eastAsia" w:ascii="黑体" w:hAnsi="黑体" w:eastAsia="黑体" w:cs="仿宋"/>
          <w:b w:val="0"/>
          <w:color w:val="000000"/>
          <w:sz w:val="32"/>
          <w:szCs w:val="32"/>
        </w:rPr>
      </w:pPr>
      <w:r>
        <w:rPr>
          <w:rStyle w:val="11"/>
          <w:rFonts w:ascii="黑体" w:hAnsi="黑体" w:eastAsia="黑体" w:cs="仿宋"/>
          <w:b w:val="0"/>
          <w:color w:val="000000"/>
          <w:sz w:val="32"/>
          <w:szCs w:val="32"/>
        </w:rPr>
        <w:t>优秀学术成果</w:t>
      </w:r>
      <w:r>
        <w:rPr>
          <w:rStyle w:val="11"/>
          <w:rFonts w:hint="eastAsia" w:ascii="黑体" w:hAnsi="黑体" w:eastAsia="黑体" w:cs="仿宋"/>
          <w:b w:val="0"/>
          <w:color w:val="000000"/>
          <w:sz w:val="32"/>
          <w:szCs w:val="32"/>
        </w:rPr>
        <w:t>类别及量化计算标准</w:t>
      </w:r>
    </w:p>
    <w:p>
      <w:pPr>
        <w:pStyle w:val="7"/>
        <w:widowControl/>
        <w:spacing w:before="0" w:beforeAutospacing="0" w:after="0" w:afterAutospacing="0" w:line="560"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论文、专利、专著等成果的定档计分依据以</w:t>
      </w:r>
      <w:r>
        <w:rPr>
          <w:rFonts w:hint="eastAsia" w:ascii="仿宋" w:hAnsi="仿宋" w:eastAsia="仿宋" w:cs="仿宋"/>
          <w:color w:val="000000"/>
          <w:sz w:val="32"/>
          <w:szCs w:val="32"/>
        </w:rPr>
        <w:t>《</w:t>
      </w:r>
      <w:r>
        <w:rPr>
          <w:rFonts w:hint="eastAsia" w:ascii="仿宋" w:hAnsi="仿宋" w:eastAsia="仿宋" w:cs="仿宋"/>
          <w:color w:val="000000"/>
          <w:sz w:val="32"/>
          <w:szCs w:val="32"/>
          <w:lang w:val="en-US" w:eastAsia="zh-CN"/>
        </w:rPr>
        <w:t>关于印发</w:t>
      </w:r>
      <w:r>
        <w:rPr>
          <w:rFonts w:hint="eastAsia" w:ascii="仿宋" w:hAnsi="仿宋" w:eastAsia="仿宋" w:cs="仿宋"/>
          <w:color w:val="000000"/>
          <w:sz w:val="32"/>
          <w:szCs w:val="32"/>
        </w:rPr>
        <w:t>山东理工大学</w:t>
      </w:r>
      <w:r>
        <w:rPr>
          <w:rFonts w:hint="eastAsia" w:ascii="仿宋" w:hAnsi="仿宋" w:eastAsia="仿宋" w:cs="仿宋"/>
          <w:color w:val="000000"/>
          <w:sz w:val="32"/>
          <w:szCs w:val="32"/>
          <w:lang w:eastAsia="zh-CN"/>
        </w:rPr>
        <w:t>自然科学科研成果、项目、奖励等级认定与</w:t>
      </w:r>
      <w:r>
        <w:rPr>
          <w:rFonts w:hint="eastAsia" w:ascii="仿宋" w:hAnsi="仿宋" w:eastAsia="仿宋" w:cs="仿宋"/>
          <w:color w:val="000000"/>
          <w:sz w:val="32"/>
          <w:szCs w:val="32"/>
          <w:lang w:val="en-US" w:eastAsia="zh-CN"/>
        </w:rPr>
        <w:t>评价</w:t>
      </w:r>
      <w:r>
        <w:rPr>
          <w:rFonts w:hint="eastAsia" w:ascii="仿宋" w:hAnsi="仿宋" w:eastAsia="仿宋" w:cs="仿宋"/>
          <w:color w:val="000000"/>
          <w:sz w:val="32"/>
          <w:szCs w:val="32"/>
          <w:lang w:eastAsia="zh-CN"/>
        </w:rPr>
        <w:t>办法</w:t>
      </w:r>
      <w:r>
        <w:rPr>
          <w:rFonts w:hint="eastAsia" w:ascii="仿宋" w:hAnsi="仿宋" w:eastAsia="仿宋" w:cs="仿宋"/>
          <w:color w:val="000000"/>
          <w:sz w:val="32"/>
          <w:szCs w:val="32"/>
        </w:rPr>
        <w:t>（试行）</w:t>
      </w:r>
      <w:r>
        <w:rPr>
          <w:rFonts w:hint="eastAsia" w:ascii="仿宋" w:hAnsi="仿宋" w:eastAsia="仿宋" w:cs="仿宋"/>
          <w:color w:val="000000"/>
          <w:sz w:val="32"/>
          <w:szCs w:val="32"/>
          <w:lang w:val="en-US" w:eastAsia="zh-CN"/>
        </w:rPr>
        <w:t>等规章制度的通知</w:t>
      </w:r>
      <w:r>
        <w:rPr>
          <w:rFonts w:hint="eastAsia" w:ascii="仿宋" w:hAnsi="仿宋" w:eastAsia="仿宋" w:cs="仿宋"/>
          <w:color w:val="000000"/>
          <w:sz w:val="32"/>
          <w:szCs w:val="32"/>
        </w:rPr>
        <w:t>》（鲁理工大政发〔20</w:t>
      </w:r>
      <w:r>
        <w:rPr>
          <w:rFonts w:hint="eastAsia" w:ascii="仿宋" w:hAnsi="仿宋" w:eastAsia="仿宋" w:cs="仿宋"/>
          <w:color w:val="000000"/>
          <w:sz w:val="32"/>
          <w:szCs w:val="32"/>
          <w:lang w:val="en-US" w:eastAsia="zh-CN"/>
        </w:rPr>
        <w:t>22</w:t>
      </w:r>
      <w:r>
        <w:rPr>
          <w:rFonts w:hint="eastAsia" w:ascii="仿宋" w:hAnsi="仿宋" w:eastAsia="仿宋" w:cs="仿宋"/>
          <w:color w:val="000000"/>
          <w:sz w:val="32"/>
          <w:szCs w:val="32"/>
        </w:rPr>
        <w:t>〕</w:t>
      </w:r>
      <w:r>
        <w:rPr>
          <w:rFonts w:hint="eastAsia" w:ascii="仿宋" w:hAnsi="仿宋" w:eastAsia="仿宋" w:cs="仿宋"/>
          <w:color w:val="000000"/>
          <w:sz w:val="32"/>
          <w:szCs w:val="32"/>
          <w:lang w:val="en-US" w:eastAsia="zh-CN"/>
        </w:rPr>
        <w:t>54</w:t>
      </w:r>
      <w:r>
        <w:rPr>
          <w:rFonts w:hint="eastAsia" w:ascii="仿宋" w:hAnsi="仿宋" w:eastAsia="仿宋" w:cs="仿宋"/>
          <w:color w:val="000000"/>
          <w:sz w:val="32"/>
          <w:szCs w:val="32"/>
        </w:rPr>
        <w:t>号）、《</w:t>
      </w:r>
      <w:r>
        <w:rPr>
          <w:rFonts w:hint="eastAsia" w:ascii="仿宋" w:hAnsi="仿宋" w:eastAsia="仿宋" w:cs="仿宋"/>
          <w:color w:val="000000"/>
          <w:sz w:val="32"/>
          <w:szCs w:val="32"/>
          <w:lang w:val="en-US" w:eastAsia="zh-CN"/>
        </w:rPr>
        <w:t>关于印发&lt;</w:t>
      </w:r>
      <w:r>
        <w:rPr>
          <w:rFonts w:hint="eastAsia" w:ascii="仿宋" w:hAnsi="仿宋" w:eastAsia="仿宋" w:cs="仿宋"/>
          <w:color w:val="000000"/>
          <w:sz w:val="32"/>
          <w:szCs w:val="32"/>
        </w:rPr>
        <w:t>山东理工大学岗位聘用与考核实施办法</w:t>
      </w:r>
      <w:r>
        <w:rPr>
          <w:rFonts w:hint="eastAsia" w:ascii="仿宋" w:hAnsi="仿宋" w:eastAsia="仿宋" w:cs="仿宋"/>
          <w:color w:val="000000"/>
          <w:sz w:val="32"/>
          <w:szCs w:val="32"/>
          <w:lang w:val="en-US" w:eastAsia="zh-CN"/>
        </w:rPr>
        <w:t>&gt;的通知</w:t>
      </w:r>
      <w:r>
        <w:rPr>
          <w:rFonts w:hint="eastAsia" w:ascii="仿宋" w:hAnsi="仿宋" w:eastAsia="仿宋" w:cs="仿宋"/>
          <w:color w:val="000000"/>
          <w:sz w:val="32"/>
          <w:szCs w:val="32"/>
        </w:rPr>
        <w:t>》（鲁理工大政发〔2022〕56号）</w:t>
      </w:r>
      <w:r>
        <w:rPr>
          <w:rFonts w:hint="eastAsia" w:ascii="仿宋" w:hAnsi="仿宋" w:eastAsia="仿宋" w:cs="仿宋"/>
          <w:color w:val="000000"/>
          <w:sz w:val="32"/>
          <w:szCs w:val="32"/>
          <w:lang w:val="en-US" w:eastAsia="zh-CN"/>
        </w:rPr>
        <w:t>等文件为准；竞赛成果的计分以</w:t>
      </w:r>
      <w:r>
        <w:rPr>
          <w:rFonts w:hint="eastAsia" w:ascii="仿宋" w:hAnsi="仿宋" w:eastAsia="仿宋" w:cs="仿宋"/>
          <w:color w:val="000000"/>
          <w:sz w:val="32"/>
          <w:szCs w:val="32"/>
        </w:rPr>
        <w:t>《山东理工大学研究生高水平学科竞赛优秀成果量化计算办法》（研究生函〔2022〕12号）</w:t>
      </w:r>
      <w:r>
        <w:rPr>
          <w:rFonts w:hint="eastAsia" w:ascii="仿宋" w:hAnsi="仿宋" w:eastAsia="仿宋" w:cs="仿宋"/>
          <w:color w:val="000000"/>
          <w:sz w:val="32"/>
          <w:szCs w:val="32"/>
          <w:lang w:val="en-US" w:eastAsia="zh-CN"/>
        </w:rPr>
        <w:t>为准。</w:t>
      </w:r>
    </w:p>
    <w:p>
      <w:pPr>
        <w:pStyle w:val="7"/>
        <w:widowControl/>
        <w:spacing w:before="240" w:beforeAutospacing="0" w:after="240" w:afterAutospacing="0" w:line="560" w:lineRule="exact"/>
        <w:ind w:firstLine="640" w:firstLineChars="200"/>
        <w:jc w:val="both"/>
        <w:rPr>
          <w:rStyle w:val="11"/>
          <w:rFonts w:hint="eastAsia" w:ascii="黑体" w:hAnsi="黑体" w:eastAsia="黑体" w:cs="仿宋"/>
          <w:b w:val="0"/>
          <w:color w:val="000000"/>
          <w:sz w:val="32"/>
          <w:szCs w:val="32"/>
        </w:rPr>
      </w:pPr>
    </w:p>
    <w:p>
      <w:pPr>
        <w:pStyle w:val="7"/>
        <w:widowControl/>
        <w:spacing w:before="240" w:beforeAutospacing="0" w:after="240" w:afterAutospacing="0" w:line="560" w:lineRule="exact"/>
        <w:ind w:firstLine="640" w:firstLineChars="200"/>
        <w:jc w:val="both"/>
        <w:rPr>
          <w:rStyle w:val="11"/>
          <w:rFonts w:ascii="黑体" w:hAnsi="黑体" w:eastAsia="黑体" w:cs="仿宋"/>
          <w:b w:val="0"/>
          <w:color w:val="000000"/>
          <w:sz w:val="32"/>
          <w:szCs w:val="32"/>
        </w:rPr>
      </w:pPr>
      <w:bookmarkStart w:id="0" w:name="_GoBack"/>
      <w:bookmarkEnd w:id="0"/>
      <w:r>
        <w:rPr>
          <w:rStyle w:val="11"/>
          <w:rFonts w:hint="eastAsia" w:ascii="黑体" w:hAnsi="黑体" w:eastAsia="黑体" w:cs="仿宋"/>
          <w:b w:val="0"/>
          <w:color w:val="000000"/>
          <w:sz w:val="32"/>
          <w:szCs w:val="32"/>
        </w:rPr>
        <w:t>三、权重说明</w:t>
      </w:r>
    </w:p>
    <w:p>
      <w:pPr>
        <w:pStyle w:val="7"/>
        <w:widowControl/>
        <w:spacing w:before="0" w:beforeAutospacing="0" w:after="0" w:afterAutospacing="0"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位次权重由导师（高水平竞赛为该竞赛指导老师）牵头分配，整个团队成员位次权重之和不能超过1，教师不获得分配权重（只分配给学生）。每学期初由导师（竞赛指导老师）对未进行权重分配的成果（论文、专利、著作等）进行权重分配并填写《交通学院研究生优秀学术成果权重分配统计表》。原则上，三作及以后位次总权重不高于0.25。</w:t>
      </w:r>
    </w:p>
    <w:p>
      <w:pPr>
        <w:pStyle w:val="7"/>
        <w:widowControl/>
        <w:spacing w:before="240" w:beforeAutospacing="0" w:after="240" w:afterAutospacing="0" w:line="560" w:lineRule="exact"/>
        <w:ind w:firstLine="640" w:firstLineChars="200"/>
        <w:jc w:val="both"/>
        <w:rPr>
          <w:rStyle w:val="11"/>
          <w:rFonts w:ascii="黑体" w:hAnsi="黑体" w:eastAsia="黑体" w:cs="仿宋"/>
          <w:b w:val="0"/>
          <w:color w:val="000000"/>
          <w:sz w:val="32"/>
          <w:szCs w:val="32"/>
        </w:rPr>
      </w:pPr>
      <w:r>
        <w:rPr>
          <w:rStyle w:val="11"/>
          <w:rFonts w:hint="eastAsia" w:ascii="黑体" w:hAnsi="黑体" w:eastAsia="黑体" w:cs="仿宋"/>
          <w:b w:val="0"/>
          <w:color w:val="000000"/>
          <w:sz w:val="32"/>
          <w:szCs w:val="32"/>
        </w:rPr>
        <w:t>四、其他说明</w:t>
      </w:r>
    </w:p>
    <w:p>
      <w:pPr>
        <w:pStyle w:val="7"/>
        <w:widowControl/>
        <w:spacing w:before="0" w:beforeAutospacing="0" w:after="0" w:afterAutospacing="0"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期刊等出版物须提供期刊等原件;检索论文须提供本文的检索号或检索证明;已在期刊上公开发表但还未检索(没有检索号)的论文，按照论文公开发表时该期刊的收录检索情况予以认定；收录检索证明以图书馆开具的检索证明为准，否则不予认定。</w:t>
      </w:r>
    </w:p>
    <w:p>
      <w:pPr>
        <w:pStyle w:val="7"/>
        <w:widowControl/>
        <w:spacing w:before="0" w:beforeAutospacing="0" w:after="0" w:afterAutospacing="0"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2.录用通知或签订出版合同的著作依据“录用通知或合同+缴费发票+校样”认定，认定后降一计分档计分。</w:t>
      </w:r>
    </w:p>
    <w:p>
      <w:pPr>
        <w:pStyle w:val="7"/>
        <w:widowControl/>
        <w:spacing w:before="0" w:beforeAutospacing="0" w:after="0" w:afterAutospacing="0"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3.检索论文按照202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rPr>
        <w:t>中科院</w:t>
      </w:r>
      <w:r>
        <w:rPr>
          <w:rFonts w:hint="eastAsia" w:ascii="仿宋" w:hAnsi="仿宋" w:eastAsia="仿宋" w:cs="仿宋"/>
          <w:color w:val="000000"/>
          <w:sz w:val="32"/>
          <w:szCs w:val="32"/>
          <w:lang w:val="en-US" w:eastAsia="zh-CN"/>
        </w:rPr>
        <w:t>升级版</w:t>
      </w:r>
      <w:r>
        <w:rPr>
          <w:rFonts w:hint="eastAsia" w:ascii="仿宋" w:hAnsi="仿宋" w:eastAsia="仿宋" w:cs="仿宋"/>
          <w:color w:val="000000"/>
          <w:sz w:val="32"/>
          <w:szCs w:val="32"/>
        </w:rPr>
        <w:t>大类分区进行认定。</w:t>
      </w:r>
    </w:p>
    <w:p>
      <w:pPr>
        <w:pStyle w:val="7"/>
        <w:widowControl/>
        <w:spacing w:before="0" w:beforeAutospacing="0" w:after="0" w:afterAutospacing="0"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4.发明专利依据“办理登记手续通知书+缴费发票(国家知识产权局出具)+国家知识产权局公布的专利说明书扉页"予以认定。</w:t>
      </w:r>
    </w:p>
    <w:p>
      <w:pPr>
        <w:pStyle w:val="7"/>
        <w:widowControl/>
        <w:spacing w:before="0" w:beforeAutospacing="0" w:after="0" w:afterAutospacing="0"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5.所有录用通知等非原件材料必须有导师本人签字、导师联系方式、研究生培养单位盖章，否则不予认定。</w:t>
      </w:r>
    </w:p>
    <w:p>
      <w:pPr>
        <w:pStyle w:val="7"/>
        <w:widowControl/>
        <w:spacing w:before="0" w:beforeAutospacing="0" w:after="0" w:afterAutospacing="0" w:line="560" w:lineRule="exact"/>
        <w:ind w:firstLine="640" w:firstLineChars="200"/>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6.实用新型专利、计算机软件著作权和外观设计专利各类每人每学年最多认定3个有效。</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每年总共只认定3篇</w:t>
      </w:r>
      <w:r>
        <w:rPr>
          <w:rFonts w:hint="eastAsia" w:ascii="仿宋" w:hAnsi="仿宋" w:eastAsia="仿宋" w:cs="仿宋"/>
          <w:color w:val="000000"/>
          <w:sz w:val="32"/>
          <w:szCs w:val="32"/>
          <w:lang w:eastAsia="zh-CN"/>
        </w:rPr>
        <w:t>）</w:t>
      </w:r>
    </w:p>
    <w:p>
      <w:pPr>
        <w:pStyle w:val="7"/>
        <w:widowControl/>
        <w:spacing w:before="0" w:beforeAutospacing="0" w:after="0" w:afterAutospacing="0" w:line="560" w:lineRule="exact"/>
        <w:ind w:firstLine="640" w:firstLineChars="200"/>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7.《山东理工大学学报》及普通中文、外文期刊论文各类每人每学年最多认定1篇有效，并且对于在同本同期期刊上以第一作者发表的多篇论文，只认定1篇有效。</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每年总共只认定1篇</w:t>
      </w:r>
      <w:r>
        <w:rPr>
          <w:rFonts w:hint="eastAsia" w:ascii="仿宋" w:hAnsi="仿宋" w:eastAsia="仿宋" w:cs="仿宋"/>
          <w:color w:val="000000"/>
          <w:sz w:val="32"/>
          <w:szCs w:val="32"/>
          <w:lang w:eastAsia="zh-CN"/>
        </w:rPr>
        <w:t>）</w:t>
      </w:r>
    </w:p>
    <w:p>
      <w:pPr>
        <w:pStyle w:val="7"/>
        <w:widowControl/>
        <w:spacing w:before="0" w:beforeAutospacing="0" w:after="0" w:afterAutospacing="0"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8.能够推荐国家科技奖的学会、协会等社会力量设置的科学技术奖(且在国家科学</w:t>
      </w:r>
      <w:r>
        <w:rPr>
          <w:rFonts w:ascii="仿宋" w:hAnsi="仿宋" w:eastAsia="仿宋" w:cs="仿宋"/>
          <w:color w:val="000000"/>
          <w:sz w:val="32"/>
          <w:szCs w:val="32"/>
        </w:rPr>
        <w:t>技术</w:t>
      </w:r>
      <w:r>
        <w:rPr>
          <w:rFonts w:hint="eastAsia" w:ascii="仿宋" w:hAnsi="仿宋" w:eastAsia="仿宋" w:cs="仿宋"/>
          <w:color w:val="000000"/>
          <w:sz w:val="32"/>
          <w:szCs w:val="32"/>
        </w:rPr>
        <w:t>奖励</w:t>
      </w:r>
      <w:r>
        <w:rPr>
          <w:rFonts w:ascii="仿宋" w:hAnsi="仿宋" w:eastAsia="仿宋" w:cs="仿宋"/>
          <w:color w:val="000000"/>
          <w:sz w:val="32"/>
          <w:szCs w:val="32"/>
        </w:rPr>
        <w:t>工作办公室备案的非政府奖)，按照省部级奖励认定:能够推荐</w:t>
      </w:r>
      <w:r>
        <w:rPr>
          <w:rFonts w:hint="eastAsia" w:ascii="仿宋" w:hAnsi="仿宋" w:eastAsia="仿宋" w:cs="仿宋"/>
          <w:color w:val="000000"/>
          <w:sz w:val="32"/>
          <w:szCs w:val="32"/>
        </w:rPr>
        <w:t>省部</w:t>
      </w:r>
      <w:r>
        <w:rPr>
          <w:rFonts w:ascii="仿宋" w:hAnsi="仿宋" w:eastAsia="仿宋" w:cs="仿宋"/>
          <w:color w:val="000000"/>
          <w:sz w:val="32"/>
          <w:szCs w:val="32"/>
        </w:rPr>
        <w:t>级科技奖的学会、协会等社会力量设置的科学技术奖，按照厅局级奖励认定。例如:中国机械工业科技进步二等奖，按照省部级二等奖认定。学会竞赛奖，按照研究生参加竞赛活动子以认定，量化计算方式与学会的科学技术奖相同;</w:t>
      </w:r>
      <w:r>
        <w:rPr>
          <w:rFonts w:hint="eastAsia" w:ascii="仿宋" w:hAnsi="仿宋" w:eastAsia="仿宋" w:cs="仿宋"/>
          <w:color w:val="000000"/>
          <w:sz w:val="32"/>
          <w:szCs w:val="32"/>
        </w:rPr>
        <w:t>国家级学会的优秀论文奖按市厅级一等奖认定，非国家级学会的优秀论文奖一概不予认定。</w:t>
      </w:r>
    </w:p>
    <w:p>
      <w:pPr>
        <w:pStyle w:val="7"/>
        <w:widowControl/>
        <w:spacing w:before="0" w:beforeAutospacing="0" w:after="0" w:afterAutospacing="0"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9.</w:t>
      </w:r>
      <w:r>
        <w:rPr>
          <w:rFonts w:ascii="仿宋" w:hAnsi="仿宋" w:eastAsia="仿宋" w:cs="仿宋"/>
          <w:color w:val="000000"/>
          <w:sz w:val="32"/>
          <w:szCs w:val="32"/>
        </w:rPr>
        <w:t>山东省研究生优秀科技创新成果奖、山东省专业学位研究生优秀实践成果奖按照省部级科研奖励予以认定;山东省机电产品创新大赛、研究生电子竞赛等赛事按照研究生参加高水平竞赛活动予以认定;数学建模竞赛，只认定全国研究生数学建模竞赛，其他数学建模竞赛不予认定。</w:t>
      </w:r>
    </w:p>
    <w:p>
      <w:pPr>
        <w:pStyle w:val="7"/>
        <w:widowControl/>
        <w:spacing w:before="0" w:beforeAutospacing="0" w:after="0" w:afterAutospacing="0" w:line="560" w:lineRule="exact"/>
        <w:ind w:firstLine="640" w:firstLineChars="200"/>
        <w:rPr>
          <w:rFonts w:hint="eastAsia" w:ascii="仿宋" w:hAnsi="仿宋" w:eastAsia="仿宋" w:cs="仿宋"/>
          <w:color w:val="000000"/>
          <w:sz w:val="32"/>
          <w:szCs w:val="32"/>
        </w:rPr>
      </w:pPr>
      <w:r>
        <w:rPr>
          <w:rFonts w:hint="eastAsia" w:ascii="仿宋" w:hAnsi="仿宋" w:eastAsia="仿宋" w:cs="仿宋"/>
          <w:bCs/>
          <w:color w:val="000000"/>
          <w:sz w:val="32"/>
          <w:szCs w:val="32"/>
        </w:rPr>
        <w:t>10.权重分配与上半年研究生优秀学术成果奖配比保持一致</w:t>
      </w:r>
      <w:r>
        <w:rPr>
          <w:rFonts w:hint="eastAsia" w:ascii="仿宋" w:hAnsi="仿宋" w:eastAsia="仿宋" w:cs="仿宋"/>
          <w:color w:val="000000"/>
          <w:sz w:val="32"/>
          <w:szCs w:val="32"/>
        </w:rPr>
        <w:t>。</w:t>
      </w:r>
    </w:p>
    <w:p>
      <w:pPr>
        <w:pStyle w:val="7"/>
        <w:widowControl/>
        <w:spacing w:before="0" w:beforeAutospacing="0" w:after="0" w:afterAutospacing="0" w:line="560" w:lineRule="exact"/>
        <w:ind w:firstLine="640" w:firstLineChars="200"/>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11.所有成果位次只认定到第六位。</w:t>
      </w:r>
    </w:p>
    <w:p>
      <w:pPr>
        <w:pStyle w:val="7"/>
        <w:widowControl/>
        <w:spacing w:before="240" w:beforeAutospacing="0" w:after="240" w:afterAutospacing="0" w:line="560" w:lineRule="exact"/>
        <w:ind w:firstLine="643" w:firstLineChars="200"/>
        <w:jc w:val="both"/>
        <w:rPr>
          <w:rStyle w:val="11"/>
          <w:rFonts w:ascii="仿宋" w:hAnsi="仿宋" w:eastAsia="仿宋" w:cs="仿宋"/>
          <w:color w:val="000000" w:themeColor="text1"/>
          <w:sz w:val="32"/>
          <w:szCs w:val="32"/>
          <w14:textFill>
            <w14:solidFill>
              <w14:schemeClr w14:val="tx1"/>
            </w14:solidFill>
          </w14:textFill>
        </w:rPr>
      </w:pPr>
      <w:r>
        <w:rPr>
          <w:rStyle w:val="11"/>
          <w:rFonts w:hint="eastAsia" w:ascii="仿宋" w:hAnsi="仿宋" w:eastAsia="仿宋" w:cs="仿宋"/>
          <w:color w:val="000000"/>
          <w:sz w:val="32"/>
          <w:szCs w:val="32"/>
        </w:rPr>
        <w:t>五、未尽</w:t>
      </w:r>
      <w:r>
        <w:rPr>
          <w:rStyle w:val="11"/>
          <w:rFonts w:hint="eastAsia" w:ascii="仿宋" w:hAnsi="仿宋" w:eastAsia="仿宋" w:cs="仿宋"/>
          <w:color w:val="000000" w:themeColor="text1"/>
          <w:sz w:val="32"/>
          <w:szCs w:val="32"/>
          <w14:textFill>
            <w14:solidFill>
              <w14:schemeClr w14:val="tx1"/>
            </w14:solidFill>
          </w14:textFill>
        </w:rPr>
        <w:t>事宜，由学院予以解释。</w:t>
      </w:r>
    </w:p>
    <w:p>
      <w:pPr>
        <w:pStyle w:val="7"/>
        <w:widowControl/>
        <w:spacing w:before="240" w:beforeAutospacing="0" w:after="240" w:afterAutospacing="0" w:line="560" w:lineRule="exact"/>
        <w:ind w:firstLine="640" w:firstLineChars="200"/>
        <w:jc w:val="right"/>
        <w:rPr>
          <w:rStyle w:val="11"/>
          <w:rFonts w:ascii="仿宋" w:hAnsi="仿宋" w:eastAsia="仿宋" w:cs="仿宋"/>
          <w:b w:val="0"/>
          <w:bCs/>
          <w:color w:val="000000" w:themeColor="text1"/>
          <w:sz w:val="32"/>
          <w:szCs w:val="32"/>
          <w14:textFill>
            <w14:solidFill>
              <w14:schemeClr w14:val="tx1"/>
            </w14:solidFill>
          </w14:textFill>
        </w:rPr>
      </w:pPr>
    </w:p>
    <w:p>
      <w:pPr>
        <w:pStyle w:val="7"/>
        <w:widowControl/>
        <w:spacing w:before="240" w:beforeAutospacing="0" w:after="240" w:afterAutospacing="0" w:line="560" w:lineRule="exact"/>
        <w:ind w:firstLine="640" w:firstLineChars="200"/>
        <w:jc w:val="right"/>
        <w:rPr>
          <w:rStyle w:val="11"/>
          <w:rFonts w:ascii="仿宋" w:hAnsi="仿宋" w:eastAsia="仿宋" w:cs="仿宋"/>
          <w:b w:val="0"/>
          <w:bCs/>
          <w:color w:val="000000" w:themeColor="text1"/>
          <w:sz w:val="32"/>
          <w:szCs w:val="32"/>
          <w14:textFill>
            <w14:solidFill>
              <w14:schemeClr w14:val="tx1"/>
            </w14:solidFill>
          </w14:textFill>
        </w:rPr>
      </w:pPr>
    </w:p>
    <w:p>
      <w:pPr>
        <w:pStyle w:val="7"/>
        <w:widowControl/>
        <w:spacing w:before="240" w:beforeAutospacing="0" w:after="240" w:afterAutospacing="0" w:line="560" w:lineRule="exact"/>
        <w:ind w:firstLine="640" w:firstLineChars="200"/>
        <w:jc w:val="right"/>
        <w:rPr>
          <w:rStyle w:val="11"/>
          <w:rFonts w:ascii="仿宋" w:hAnsi="仿宋" w:eastAsia="仿宋" w:cs="仿宋"/>
          <w:b w:val="0"/>
          <w:bCs/>
          <w:color w:val="000000" w:themeColor="text1"/>
          <w:sz w:val="32"/>
          <w:szCs w:val="32"/>
          <w14:textFill>
            <w14:solidFill>
              <w14:schemeClr w14:val="tx1"/>
            </w14:solidFill>
          </w14:textFill>
        </w:rPr>
      </w:pPr>
      <w:r>
        <w:rPr>
          <w:rStyle w:val="11"/>
          <w:rFonts w:hint="eastAsia" w:ascii="仿宋" w:hAnsi="仿宋" w:eastAsia="仿宋" w:cs="仿宋"/>
          <w:b w:val="0"/>
          <w:bCs/>
          <w:color w:val="000000" w:themeColor="text1"/>
          <w:sz w:val="32"/>
          <w:szCs w:val="32"/>
          <w14:textFill>
            <w14:solidFill>
              <w14:schemeClr w14:val="tx1"/>
            </w14:solidFill>
          </w14:textFill>
        </w:rPr>
        <w:t>交通与车辆工程学院</w:t>
      </w:r>
    </w:p>
    <w:p>
      <w:pPr>
        <w:pStyle w:val="7"/>
        <w:widowControl/>
        <w:spacing w:before="240" w:beforeAutospacing="0" w:after="240" w:afterAutospacing="0" w:line="560" w:lineRule="exact"/>
        <w:ind w:firstLine="640" w:firstLineChars="200"/>
        <w:jc w:val="right"/>
        <w:rPr>
          <w:rStyle w:val="11"/>
          <w:rFonts w:hint="eastAsia" w:ascii="仿宋" w:hAnsi="仿宋" w:eastAsia="仿宋" w:cs="仿宋"/>
          <w:b w:val="0"/>
          <w:bCs/>
          <w:color w:val="000000" w:themeColor="text1"/>
          <w:sz w:val="32"/>
          <w:szCs w:val="32"/>
          <w:lang w:val="en-US" w:eastAsia="zh-CN"/>
          <w14:textFill>
            <w14:solidFill>
              <w14:schemeClr w14:val="tx1"/>
            </w14:solidFill>
          </w14:textFill>
        </w:rPr>
      </w:pPr>
      <w:r>
        <w:rPr>
          <w:rStyle w:val="11"/>
          <w:rFonts w:hint="eastAsia" w:ascii="仿宋" w:hAnsi="仿宋" w:eastAsia="仿宋" w:cs="仿宋"/>
          <w:b w:val="0"/>
          <w:bCs/>
          <w:color w:val="000000" w:themeColor="text1"/>
          <w:sz w:val="32"/>
          <w:szCs w:val="32"/>
          <w14:textFill>
            <w14:solidFill>
              <w14:schemeClr w14:val="tx1"/>
            </w14:solidFill>
          </w14:textFill>
        </w:rPr>
        <w:t>202</w:t>
      </w:r>
      <w:r>
        <w:rPr>
          <w:rStyle w:val="11"/>
          <w:rFonts w:hint="eastAsia" w:ascii="仿宋" w:hAnsi="仿宋" w:eastAsia="仿宋" w:cs="仿宋"/>
          <w:b w:val="0"/>
          <w:bCs/>
          <w:color w:val="000000" w:themeColor="text1"/>
          <w:sz w:val="32"/>
          <w:szCs w:val="32"/>
          <w:lang w:val="en-US" w:eastAsia="zh-CN"/>
          <w14:textFill>
            <w14:solidFill>
              <w14:schemeClr w14:val="tx1"/>
            </w14:solidFill>
          </w14:textFill>
        </w:rPr>
        <w:t>3</w:t>
      </w:r>
      <w:r>
        <w:rPr>
          <w:rStyle w:val="11"/>
          <w:rFonts w:hint="eastAsia" w:ascii="仿宋" w:hAnsi="仿宋" w:eastAsia="仿宋" w:cs="仿宋"/>
          <w:b w:val="0"/>
          <w:bCs/>
          <w:color w:val="000000" w:themeColor="text1"/>
          <w:sz w:val="32"/>
          <w:szCs w:val="32"/>
          <w14:textFill>
            <w14:solidFill>
              <w14:schemeClr w14:val="tx1"/>
            </w14:solidFill>
          </w14:textFill>
        </w:rPr>
        <w:t>.</w:t>
      </w:r>
      <w:r>
        <w:rPr>
          <w:rStyle w:val="11"/>
          <w:rFonts w:hint="eastAsia" w:ascii="仿宋" w:hAnsi="仿宋" w:eastAsia="仿宋" w:cs="仿宋"/>
          <w:b w:val="0"/>
          <w:bCs/>
          <w:color w:val="000000" w:themeColor="text1"/>
          <w:sz w:val="32"/>
          <w:szCs w:val="32"/>
          <w:lang w:val="en-US" w:eastAsia="zh-CN"/>
          <w14:textFill>
            <w14:solidFill>
              <w14:schemeClr w14:val="tx1"/>
            </w14:solidFill>
          </w14:textFill>
        </w:rPr>
        <w:t>9</w:t>
      </w:r>
      <w:r>
        <w:rPr>
          <w:rStyle w:val="11"/>
          <w:rFonts w:hint="eastAsia" w:ascii="仿宋" w:hAnsi="仿宋" w:eastAsia="仿宋" w:cs="仿宋"/>
          <w:b w:val="0"/>
          <w:bCs/>
          <w:color w:val="000000" w:themeColor="text1"/>
          <w:sz w:val="32"/>
          <w:szCs w:val="32"/>
          <w14:textFill>
            <w14:solidFill>
              <w14:schemeClr w14:val="tx1"/>
            </w14:solidFill>
          </w14:textFill>
        </w:rPr>
        <w:t>.1</w:t>
      </w:r>
      <w:r>
        <w:rPr>
          <w:rStyle w:val="11"/>
          <w:rFonts w:hint="eastAsia" w:ascii="仿宋" w:hAnsi="仿宋" w:eastAsia="仿宋" w:cs="仿宋"/>
          <w:b w:val="0"/>
          <w:bCs/>
          <w:color w:val="000000" w:themeColor="text1"/>
          <w:sz w:val="32"/>
          <w:szCs w:val="32"/>
          <w:lang w:val="en-US" w:eastAsia="zh-CN"/>
          <w14:textFill>
            <w14:solidFill>
              <w14:schemeClr w14:val="tx1"/>
            </w14:solidFill>
          </w14:textFill>
        </w:rPr>
        <w:t>9</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9EF66B"/>
    <w:multiLevelType w:val="singleLevel"/>
    <w:tmpl w:val="B49EF66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3MTczNjhhYzE5ZmI5N2VkZjJhOWQzZjUxMjg3ZWQifQ=="/>
  </w:docVars>
  <w:rsids>
    <w:rsidRoot w:val="233F2099"/>
    <w:rsid w:val="00055D1C"/>
    <w:rsid w:val="0013769B"/>
    <w:rsid w:val="002127DC"/>
    <w:rsid w:val="00212B85"/>
    <w:rsid w:val="00255FF9"/>
    <w:rsid w:val="00295A75"/>
    <w:rsid w:val="002E5A10"/>
    <w:rsid w:val="00304A85"/>
    <w:rsid w:val="003B4BAB"/>
    <w:rsid w:val="003C0912"/>
    <w:rsid w:val="003D314E"/>
    <w:rsid w:val="004201EF"/>
    <w:rsid w:val="00466596"/>
    <w:rsid w:val="004D2474"/>
    <w:rsid w:val="004D3CD3"/>
    <w:rsid w:val="004E1A79"/>
    <w:rsid w:val="00532234"/>
    <w:rsid w:val="005F35A2"/>
    <w:rsid w:val="00666FFE"/>
    <w:rsid w:val="006A247B"/>
    <w:rsid w:val="006A5CC3"/>
    <w:rsid w:val="006E51F8"/>
    <w:rsid w:val="006F728E"/>
    <w:rsid w:val="0071246F"/>
    <w:rsid w:val="007E5C9D"/>
    <w:rsid w:val="009219F5"/>
    <w:rsid w:val="009821DE"/>
    <w:rsid w:val="009B5ABB"/>
    <w:rsid w:val="00A2012A"/>
    <w:rsid w:val="00AA10CC"/>
    <w:rsid w:val="00B268A1"/>
    <w:rsid w:val="00B9180E"/>
    <w:rsid w:val="00C020B9"/>
    <w:rsid w:val="00C0279D"/>
    <w:rsid w:val="00C218F2"/>
    <w:rsid w:val="00C82447"/>
    <w:rsid w:val="00D3544F"/>
    <w:rsid w:val="00DF0C99"/>
    <w:rsid w:val="00E26278"/>
    <w:rsid w:val="00E7754A"/>
    <w:rsid w:val="00E775CD"/>
    <w:rsid w:val="00FA7777"/>
    <w:rsid w:val="03F94448"/>
    <w:rsid w:val="04450592"/>
    <w:rsid w:val="05360B4A"/>
    <w:rsid w:val="061B77E8"/>
    <w:rsid w:val="08A61EC1"/>
    <w:rsid w:val="0C821421"/>
    <w:rsid w:val="13C97E13"/>
    <w:rsid w:val="153455D7"/>
    <w:rsid w:val="17866601"/>
    <w:rsid w:val="17A30DE2"/>
    <w:rsid w:val="20435AD7"/>
    <w:rsid w:val="20894FF3"/>
    <w:rsid w:val="21815FF7"/>
    <w:rsid w:val="233F2099"/>
    <w:rsid w:val="23B27CCD"/>
    <w:rsid w:val="2631320E"/>
    <w:rsid w:val="2736264B"/>
    <w:rsid w:val="312B1BB8"/>
    <w:rsid w:val="319B6F51"/>
    <w:rsid w:val="31ED13F3"/>
    <w:rsid w:val="3B3C5190"/>
    <w:rsid w:val="3C961C72"/>
    <w:rsid w:val="465D3179"/>
    <w:rsid w:val="46975F73"/>
    <w:rsid w:val="55527053"/>
    <w:rsid w:val="5AB1392F"/>
    <w:rsid w:val="5BE946E1"/>
    <w:rsid w:val="614176B8"/>
    <w:rsid w:val="62735F75"/>
    <w:rsid w:val="67447454"/>
    <w:rsid w:val="6C05489E"/>
    <w:rsid w:val="6DC94C6E"/>
    <w:rsid w:val="7E0942F0"/>
    <w:rsid w:val="7FB17A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Times New Roman"/>
      <w:b/>
      <w:bCs/>
      <w:kern w:val="44"/>
      <w:sz w:val="48"/>
      <w:szCs w:val="4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qFormat/>
    <w:uiPriority w:val="0"/>
    <w:pPr>
      <w:jc w:val="left"/>
    </w:pPr>
  </w:style>
  <w:style w:type="paragraph" w:styleId="4">
    <w:name w:val="Balloon Text"/>
    <w:basedOn w:val="1"/>
    <w:link w:val="16"/>
    <w:qFormat/>
    <w:uiPriority w:val="0"/>
    <w:rPr>
      <w:sz w:val="18"/>
      <w:szCs w:val="18"/>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rFonts w:cs="Times New Roman"/>
      <w:kern w:val="0"/>
      <w:sz w:val="24"/>
    </w:rPr>
  </w:style>
  <w:style w:type="paragraph" w:styleId="8">
    <w:name w:val="annotation subject"/>
    <w:basedOn w:val="3"/>
    <w:next w:val="3"/>
    <w:link w:val="18"/>
    <w:qFormat/>
    <w:uiPriority w:val="0"/>
    <w:rPr>
      <w:b/>
      <w:bCs/>
    </w:rPr>
  </w:style>
  <w:style w:type="character" w:styleId="11">
    <w:name w:val="Strong"/>
    <w:qFormat/>
    <w:uiPriority w:val="0"/>
    <w:rPr>
      <w:b/>
    </w:rPr>
  </w:style>
  <w:style w:type="character" w:styleId="12">
    <w:name w:val="annotation reference"/>
    <w:basedOn w:val="10"/>
    <w:qFormat/>
    <w:uiPriority w:val="0"/>
    <w:rPr>
      <w:sz w:val="21"/>
      <w:szCs w:val="21"/>
    </w:rPr>
  </w:style>
  <w:style w:type="paragraph" w:customStyle="1" w:styleId="13">
    <w:name w:val="Table Paragraph"/>
    <w:basedOn w:val="1"/>
    <w:qFormat/>
    <w:uiPriority w:val="0"/>
    <w:pPr>
      <w:autoSpaceDE w:val="0"/>
      <w:autoSpaceDN w:val="0"/>
      <w:spacing w:before="208"/>
      <w:ind w:left="433"/>
      <w:jc w:val="center"/>
    </w:pPr>
    <w:rPr>
      <w:rFonts w:ascii="仿宋" w:hAnsi="仿宋" w:eastAsia="仿宋" w:cs="宋体"/>
      <w:kern w:val="0"/>
      <w:sz w:val="22"/>
      <w:szCs w:val="22"/>
    </w:rPr>
  </w:style>
  <w:style w:type="character" w:customStyle="1" w:styleId="14">
    <w:name w:val="页眉 字符"/>
    <w:basedOn w:val="10"/>
    <w:link w:val="6"/>
    <w:qFormat/>
    <w:uiPriority w:val="0"/>
    <w:rPr>
      <w:rFonts w:asciiTheme="minorHAnsi" w:hAnsiTheme="minorHAnsi" w:eastAsiaTheme="minorEastAsia" w:cstheme="minorBidi"/>
      <w:kern w:val="2"/>
      <w:sz w:val="18"/>
      <w:szCs w:val="18"/>
    </w:rPr>
  </w:style>
  <w:style w:type="character" w:customStyle="1" w:styleId="15">
    <w:name w:val="页脚 字符"/>
    <w:basedOn w:val="10"/>
    <w:link w:val="5"/>
    <w:qFormat/>
    <w:uiPriority w:val="0"/>
    <w:rPr>
      <w:rFonts w:asciiTheme="minorHAnsi" w:hAnsiTheme="minorHAnsi" w:eastAsiaTheme="minorEastAsia" w:cstheme="minorBidi"/>
      <w:kern w:val="2"/>
      <w:sz w:val="18"/>
      <w:szCs w:val="18"/>
    </w:rPr>
  </w:style>
  <w:style w:type="character" w:customStyle="1" w:styleId="16">
    <w:name w:val="批注框文本 字符"/>
    <w:basedOn w:val="10"/>
    <w:link w:val="4"/>
    <w:qFormat/>
    <w:uiPriority w:val="0"/>
    <w:rPr>
      <w:rFonts w:asciiTheme="minorHAnsi" w:hAnsiTheme="minorHAnsi" w:eastAsiaTheme="minorEastAsia" w:cstheme="minorBidi"/>
      <w:kern w:val="2"/>
      <w:sz w:val="18"/>
      <w:szCs w:val="18"/>
    </w:rPr>
  </w:style>
  <w:style w:type="character" w:customStyle="1" w:styleId="17">
    <w:name w:val="批注文字 字符"/>
    <w:basedOn w:val="10"/>
    <w:link w:val="3"/>
    <w:qFormat/>
    <w:uiPriority w:val="0"/>
    <w:rPr>
      <w:rFonts w:asciiTheme="minorHAnsi" w:hAnsiTheme="minorHAnsi" w:eastAsiaTheme="minorEastAsia" w:cstheme="minorBidi"/>
      <w:kern w:val="2"/>
      <w:sz w:val="21"/>
      <w:szCs w:val="24"/>
    </w:rPr>
  </w:style>
  <w:style w:type="character" w:customStyle="1" w:styleId="18">
    <w:name w:val="批注主题 字符"/>
    <w:basedOn w:val="17"/>
    <w:link w:val="8"/>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69A82-6C85-48A8-84D6-EBD3308E765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345</Words>
  <Characters>1972</Characters>
  <Lines>16</Lines>
  <Paragraphs>4</Paragraphs>
  <TotalTime>0</TotalTime>
  <ScaleCrop>false</ScaleCrop>
  <LinksUpToDate>false</LinksUpToDate>
  <CharactersWithSpaces>2313</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2022-10-12T02:02:00Z</dcterms:created>
  <dc:creator>把热爱丢了</dc:creator>
  <cp:lastModifiedBy>hp</cp:lastModifiedBy>
  <dcterms:modified xsi:type="dcterms:W3CDTF">2023-09-21T03:44:24Z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81141480EB3E4980AA7FC1CE843C8B8C</vt:lpwstr>
  </property>
</Properties>
</file>